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Montague Processional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 1985 David Kaynor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S:learned at Ashokan Northern Week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R:Swedish Ganglat 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H:Created for a "Fiddlers' Day" in Montague Center, MA, in 1985.  As 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H:prelude to the concert and dance at the Grange, many musicians 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H:processed around the village playing it.  "The Montague Processional"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H:has been played for the final processional at Northern Week at Ashokan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H:several times, as a processional at Fiddle Tunes Festival at Port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H:Townsend, and people have been married and buried to it as well.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H:(Adapted and extended from text by Kaynor in tunebook "Along the River,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H:S. Conger, ed., © 1999.)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Z:Phil Katz, 2002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A,2||:"D"D3F A2Bc|d6 ef|"G"g3f e2d2|B6 ef|"Em"g2fe "A"a3g|!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"D"f2d2 "G"g2ag|"D"fafd "A"egec|1"D"d2AG "A"FEDC:||2"D"d6</w:t>
        <w:tab/>
        <w:t xml:space="preserve">fg|]!/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[|:"D"a3g f2ec|d6 ef|"G"g3f e2d2|B6 ef|"Em"g2fe "A"a3g|!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"D"f2d2 "G"g2ag|"D"fafd "A"egec|1"D"d6  </w:t>
        <w:tab/>
        <w:t xml:space="preserve">fg:||2"D"d2  AG "A"FEDC|]/"t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ag; last time"D4-D4|]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