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Peeler and the Goat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Irish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The Rakes, via Laurie Andres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Rakes (London 1960-70's) were one of the first Irish bands to have good Irish fiddlers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N:and a good D/G melodeon player, Reg Hall. A pioneering collaboration cross genre.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H:In 1814 Sir Robert _Peel_, as Chief Secretary for Ireland, introduced a Peace Preservation Force. They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H:acted more as a security and paramilitary force than a force to prevent crime and protect property, as we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H:now think of police officers. Those early constables in Ireland were called "Peelers."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Z:abc's PLK 12/2016, from handout by Laurie Andres, Rhythm Rollers 4th Sun session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B|"Am"c2  A "G"B2  G |"Am"A2  B c2  d|"Am"efe "(D7)"d2  c|"G"B2  G GAB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"Am"cBA "G"BAG |"Am"A2  B c2  d|"Am"efg "Em/B"fed|"Am"e2  A A2   :|]!/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|:f|"G"g2  e d2  B|"C"c2  d e2  f|"G"gfe d2  c|B2  G GAB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"Am"cBA "G"BAG |"Am"A2  B c2  d|"Am"efg "Em/B"fed|"Am"e2  A A2   :|]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