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Rakes of Kildare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 O'Neil's 847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 from Laurel Stone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B:O'Neill's 847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N:Note interesting play between G major and mixolydian/dorian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D|D2  G {A}GFG |ABc d2e |=fef ded |cAG =F3 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DGG {A}GFG |ABc d2  e |=fed cA^F |G3</w:t>
        <w:tab/>
        <w:t xml:space="preserve">G2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d|{a}gfg def |gfg a2  g |=fef ded |cAG =F2  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{a}gfg def |gfg a2  g |=fed cA^F|G3</w:t>
        <w:tab/>
        <w:t xml:space="preserve">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