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Road to MacMerry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Ron Purvis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A:Alnwick area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B:Ron Purvis, A Border Fiddler's Tunes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N:Scotsbroome played Road to MacMerry/Alastair J Sim/Snowy Monday on occasion.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D:Joe Hutton's last CD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H:Joe Hutton medleyed Road to MacMerry into Alastair J Sim.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7/2021 from copy of page in Purvis' tunebook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Bc|"A1"d^cde2  B |d2  BG2  E |DEDB,2  D |G3    GAB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cBcA2  c |a2  gf2  g |aba gfe |d3   dBc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"A2"d^cde2  B |d2  BG2  E |DED A2  B|c3   cBc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agfg2  e |d2  BG2  E  |DEDB2  A  |G3-   G Bc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"B1"d2  Be2  B |dBAG3 |DEF GAB |c3-   c3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c2  Aa2  g |f2  ed3  |d^cdA2  d |B3-   B3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"B2"d2  Be2  B |dBA G3 |gfga2  g |e3-  e3  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agf gfe |d2  BG2  E |DED B2  A |G3-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