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T:Saddle the Pony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April Limber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N:From Phil's transcription of an April Limber workshop tape, either at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N:Fiddle Tunes or at Lady of the Lake music/dance camp, early-mid 1980’s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D|"G"GBA G2B|"G"def "(D)"gdB|"G"GBA G2B|"D"AFD AFD|!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"G"GBA G2B|"G"def gfg|"Em"ege "D"dBA|"G"BGF G2:|!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|:Bd|"Em"efe edB|"D"def "G"gfg|"Em"efe edB|"D"dBA ABd|!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"Em"efe edB|"D"def gfg|"Em (C)"ege "D"dBA|"G"BGF G2:|]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