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T:Shelellagh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C:Andy DeJarlis (from his LP's)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S:Sheet music seemingly unpublished; from DeJarlis LP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O:Red River Metis; Scots style 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Z:Tune (from LP) by PLK, April 2004; abc's PLK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g[|:"A"a2g fed|cBA "D"F2A|"A"E2A cAc|ece   "F#m"f3 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"A"a2g fed|cBA "D"F2A|"A"E2A c2c|"E"BcB "A"A3:|]!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"A"AEA cAc|ece fga|ecA ABA|"G"=GAG   G2A|!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"A"AEA cAc|ece fga|"A"ecA "E"BAG|1"A"ABA A2 A:|]2"A"ABA A2z|]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