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South Shore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James Hill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O:Northumbrian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A:Newcastle-Upon-Tyne, Gateshead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B:One of the Northumbrian Pipers Society books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N:To those familiar with Irish but not Northumbrian music, this will resemble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N:"The Scholar". But the licks here are Northumbrian and the tune is different;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N:the dissonances are clear if the the two are played simultaneously.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 have personally sat in Gateshead, on the South Shore, in the shadow of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N:High Level Bridge, and played this tune on my melodeon.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H:The tune name refers to the South Shore of the Tyne, across the river from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H:Newcastle. It is there that James Hill's Pub The Hawk was located, on a road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H:leading down to the old low-level swing bridge across the Tyne; the principal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H:route for travelers prior to the construction of the High Level Bridge. (This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H:bridge made possible through trains from London to Edinburgh.)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H:There were in fact substantial numbers of Irish living and working in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H:Newcastle/Gateshead area in Hill's time, so it is not impossible for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H:tune to have changed hands there, and modified to have "an Irish accent.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Z:PLK 8/2021 fr. Scotsbroome "book"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A2|dfaf gfeg |fdAG FGAd |BGBG FGAd |gfed cdeA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dfaf gfeg |fdAG FGAd |BGBG FGAd |gedcd2 :|]!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fg|a2  fa dafa |dafa bagf |g2  eg =cgeg |=cgeg agfe |!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a2  fa dafa  |dafa bagf |gfga gbag |fedcd2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