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T:St. Adelle's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or "after"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 Vivian Williams, after Joe Pancerzewski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N:This is chorded in I &amp; V, in each of the keys; chordal simplicity.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N:Also pls see .rtf comment file for Paddy on a Handcar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ef|g2   gf gedc|BGAF GABc|dBcA BGAF|GABc d2   ef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g2   gf gedc|BGAF GABc|dBcA BGAF|G2   GF G2</w:t>
        <w:tab/>
        <w:t xml:space="preserve">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FG|ABAF A2   de|fefg f2</w:t>
        <w:tab/>
        <w:t xml:space="preserve">fg|afge fdec|defd A2</w:t>
        <w:tab/>
        <w:t xml:space="preserve">FG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ABAF A2   de|fefg f2</w:t>
        <w:tab/>
        <w:t xml:space="preserve">fg|afge fdec|d2   dc 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