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Gallowglass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C:traditional Irish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Lindon Toney, Olympia, WA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O:Irish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 Played into Phil's tunesucker at Lindon's house, Oct 2000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 For D/G box, play b for g#, and cea harmony for cAA, bar A6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Z:dots from aural, then abc's, Phil Katz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K:A dor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A/B/|cBc eBd|cAA A2B|cBc efg|dBG G2B|!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cBc eBd|cAA e2d|cBA GAB|cAA A2:|]!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a|a^ga e2d|cAA A2B|cBc efg|dBG G2a|!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a^ga e2d|cAA e2d|cBA GAB|cAA A2a|]!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a^ga e2d|cAA A2B|BBc efg|dBG G2a|!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age fdB|ecA BGE|ABc eBd|cAA A2|]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