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T:Two Bits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C:trad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S:fr. Alan Roberts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O:USA Midwest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N:On D/G, imo there is better flow, and consistency w/ a fiddler, if bars A1 &amp; A5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N:are played "pull-lead" starting on the G row.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H:This tune was played by Bob Walters, and according to Alan's handout, his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H:version was the original source. But a "jam session version" w/ a few more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H:notes and fewer pauses, was also documented by Alan. That is what we played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H:and is given here.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Z:abc's PLK 12/2021, from my markup of Alan Roberts' handout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F2|"D"ABAG FDEF |"G"GFGA Bcd2   |"A"efed cABc |"D"dcde fga2   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"D"ABAG FDEF |"G"GFGA Bcd2   |"A"efed cABc |dfec"D"d2   :|]!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Ac|"D"d2  fdA2  ag |fdecd2  cd |"A"edcB Ae2  d |cABGA2  FE |!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"D"DFAcd2  ag |fdecd2  cd |"A"edcB Aa2   g |"D"f2  d2  d2  :|]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