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T:War Bonnet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C:Marcel Meilleur, arr Patti Kusturok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S:Patti Kusturok's bandlab tune, Fiddle Tunes Festival mid-late 2010's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O:Red River Metis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A:Manitoba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N:Marcel Meilleur was the second fiddler in Andy DeJarlis' recording band.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N:Meilleur, who outlived DeJarlis several decades, wrote Festival du Voyageurs and later had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N:his own tunebook and several recordings of challenging tunes.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N:(This is one of the more accessible.)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Z:abc's PLK 12/2010 from Patti's FT sheet music transcription.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"Em"E2  EF EDB,2  |EDEF GABG |"G"D2  DE DB,G,2  |G,B,DF GABG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"Em"E2  EF EDB,2  |EDEF GABG |"D"A3   A ABAG |1"D"FGFD "Em"E4   :|]2"D"FGFD "Em"E2 (3DEF|]!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"G"G2  GA GED2   |GFGA Bcdf |"Em"e2  ef edB2  |edef gedB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"G"G2 GA GED2 |GFGA Bcdf |"Em"e3  e efed |1"Bm"(3BdB AF"Em"E2 (3DEF :|]2"Bm"(3BdB AF"Em"E      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