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T:Bellingham Boat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C:probably by Northumbrian fiddler "Whinham"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A:North Tyne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B:Charleton Memorial Tune Book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N:Graham Dixon says: "Bellingham is the main settlement of the North Tyne,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N:with a population (1995) of approximately 1,000."  I've been there; it is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N:pronounced "Bellinjum". Though small, it has a fine library and a librarian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N:well versed in local history.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N:Bar A8 in the original was GGG G3. That just didn't sound like a tail lick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N:of a contradance tune to me.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D:High Level Ranters "Northumberland Forever" Topic 12TS18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H:The reference to Whinham was from the venerable Newcastle band "The High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H:Level Ranters"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Z:PLK 7/2021, from page in Scotsbroome  "book"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d3   cAF |GGGG2  B |dcc cBB |BAA ABc |!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d3   cAF |GGGG2  c |BdB cAF |G2  GG3   :|]!/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[|:B/c/|d2  d def |g3   gfe |dbb Aaa |Bgg ABc |!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d2  d def |g3   gfe |afd ge^c |1d2  dd2  :|]2de^c dB=c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