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T:Bricklayer's Hornpipe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C:trad; from John Taggart mss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David Kaynor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O:New Hampshire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A:Sharon NH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B:John Taggart Mss booklet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N:Looks like Kaynor copied this from the tune booklet that accompanied the NH Fiddlers Union cassette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N:recording of tunes from the John Taggart mss.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N:Imo, despite what the trad source says, this tune would be less likely to confuse dancers re where they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N:were in the dance, if you replaced bars B5-6 with bars 1-2.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D:NH Fiddlers Union cassette; Music of John Taggart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H:David Kaynor brought this to Scotsbroome when he called for us; it was for the dance "Lady Walpole's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Z:PLK 9/2021, from Scotsbroome "book" and memory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K:F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cBcA FAcf |fege cdcB |cBdB BAcA |AGBG FEDC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cBcA FAcf |fege cegb |baag gfeg |f2  a2  f2  c2 :|]!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GFGE CEGB |BAcA FAcf |dfcf dfcf |dfba gfed 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cBcA FAcf |fege cegb |baag gfeg |f2  a2  f2  G2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