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T:Bull Run Picnic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C:Missouri tune (note Missouri IV chords, bars A6, B6)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Laurel Stone; vers. identical to Christieson Missouri tunebook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d/B/|"G"G  G/B/d  g/f/ |"C"e/f/g/e/ "G"d  g/d/ | "D"f/d/A/B/ c/B/c/e/ |"G"d/B/G/A/B  B/A/ 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"G"G/F/G/B/d  g/f/ |"C"e/f/g/e/ "C/G"d  g/d/ |"D"f/d/A/B/ c/d/e/f/ |"G"g/a/g/f/ g</w:t>
        <w:tab/>
        <w:t xml:space="preserve">:|]!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g/a/|"G"b  b/g/ "D"a  a/f/ |"G"g/a/g/e/ d/B/d/g/ |"D"f/d/A/B/ c/B/c/e/ |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"G"d/B/G/A/B  g/a/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"G"b  b/g/ "D"a  a/f/ |"C"g/a/g/e/ d/B/d/g/ |"D"f/d/A/B/ c/d/e/f/ |"G"g/a/g/f/ g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