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T:Coleraine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H:I believe Coleraine is a university town in the very northmost tip of Ireland.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Z:PLK 6/2021, from John Chambers' site, modified to match the Scotsbroome book.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Z:There are many versions Z:on Chambers' site. This one is distictive in having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Z:full-beat pickups for both parts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E3  |"Am"EAA ABc|"E"Bee e2 d|"Am"cBA ABc|"E"B^GE E2  E|!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"Am"EAA ABc|"E"Bee e2  d|"Am"cBA "E"B^GE|"Am"A3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B3  |"C"c2 c cdc|"G" Bdg g2 ^g|"Am"aed cBA|"E"^GBG E^FG|!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"Am"A^GA "E"BAB|"Am"cde "Dm"fed|"Am"cBA "E"B^GE|"Am"A3  :|]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T:Coleraine (D/G box adaptation)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N:This tune, with all its accidentals; Fnat &amp; F#; Gnat &amp; G#, will sit on no diatonic melodeon;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N:I seek to avoid it. However since it is well known and some folks like it in medleys,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N:I've designed a version one can play on the standard D/G, which can be played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N:with a "real" version, and not "step on" it.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N:First rule; stay off the left hand entirely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Z:PLK 6/2021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E3  |EAA ABc|Bee e2 d|cBA ABc|B2  E E2  E|!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EAA ABc|Bee e2  d|cBA BzE |A3   :|]!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B3  |c2  c cdc|Bdg g2 e |aed cBA|E2  E EFG |!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AEA BAB|cde ded|cBA BzE |A3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