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High Level Bridge Hornpipe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or from James Hill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O:Northumberland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A:Newcastle-Upon-Tyne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B:A Northumbrian Pipers Soc Book. Also The Lads Like Beer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N:Most versions online are in Bb.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H:Commemorates the High Level Bridge across the Tyne River betweeen Newcastle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H:and Gateshead. Opened in 1849-50, it eliminated the need to break a train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H:journey north at the Tyne, to make one's way down to the river, across on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H:swing bridge, and up the other side, to board another train. Thus, through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H:express trains from London-Edinburgh became possible. The Queen inaugurated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H:the route, her train just briefly pausing at the bridge to mark the event.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H:The ability to design such a bridge, prior to industrial steel, using heavy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H:cast iron girders only in compression, represented a major engineering design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H:achievement of the time.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Z:abc's PLK 9/2021, from Scotsbroome "book"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BA|GBDG BDGB |dgBd GBDG |AcFA DFAD |FDFA dAFA |!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GBDG BDGB |dgBd GBDG |EGAB cedG |FDEFG2   :|]!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AG|FdAd FdAd |FDFA dAFA |BdGd BdGd |BGBd gdBd |!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ceAe ceAe |cAce gece |dAfd cAec |1dcded2   :|]2dcde d=c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