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Grey Ghost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Frank Ferrel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S:Ward Beebe trans. direct from Frank's CD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N:See notes on transcription and performance accompanying The Hare's Ear.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 D/G box (where the Aflat = G# is a clumsy thumb tap), E plays smoother.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B2c[|:d3   d^ce|dBG DGB|d3</w:t>
        <w:tab/>
        <w:t xml:space="preserve">Bdg|b3</w:t>
        <w:tab/>
        <w:t xml:space="preserve">  gab|!/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|1a3</w:t>
        <w:tab/>
        <w:t xml:space="preserve">efg|f2  g f2 e|d2  e f2  e|ded ABc:||!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|2a2  a efg|f2  g f2 e|dfa c'af|g2   z :|]!/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  a2 g|f2  f fed|eAA A_AG|FAd dcd|eAA Aag|!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f2   f fed|eAA A_AG|FAd cBc|d3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