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Foresters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S:commonly played as in Don Messer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B:Messer, Don; Don Messer Anthology of Favorite Fiddle Tunes; Mel Bay 1980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N:On D/G box, play e for those G#'s.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 recall mostly leaving out or de-emphasizing the e and d notes in bar B3.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H:As played in early Salmonberry; we had it exactly as in the Don Messer Anthology.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Z:abc's PLK 12/2020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fg|a^gaf dfba |a^gafd2  cd |eAfA eAfA |edcBA2   fg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a^gaf dfba |a^gafd2  cd |BGFG Adce |d2   f2   d2 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cd|edcB AGEG |FAdfa2  fa |geBg fdAf |edcBA2  cd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edcB AGEG |FAdf afba |gfed cABc |d2   f2  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