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X:2165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T:Garryowen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R:jig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M:6/8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K:G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gf|edc BAG|BcB Bgf|edc BAG|ABA Agf|!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edc BAG|BcB B2c|def gdB|ABA A:|]!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Bc|d2B d2B|d2B dgf|e2c e2c|e2c e2f|!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g2a b2a|gfe dBc|def gdB |ABA A:|]!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