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Golden Keyboard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C:vers. Martin Mulhaire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 Craig Shaw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Z:These abc's PLK from Craig's written source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K:Edor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"Em"BGEF GFGA | B2  gB fBeB | "Em"BGEF GBAG | "D"(3FED AD BDAF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"Em"EDEF GFGA | B2gB fBeB | "D"(3dcd ce dBAF | DFAF "Em"GE E2 :|]!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"Em"Be (3ede Be (3ede | Beef edBc | "D"dA (3ABA fAce | (3dcd ce dBAF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"Em"EDEF GFGA | B2gB fBeB | "D"(3dcd ce dBAF | DFAF "Em"GE E2 :|]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T:The Golden Keyboard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C:vers. Martin Mulhaire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S:fr Craig Shaw; arr PLK for D/G melodeon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Z:These abc's PLK; Craig's written source, then melodeon mods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K:Edor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"Em"BGEF GFGA | B2  gB fBeB | "Em"BGEF GBAG | "D"FDAD BDAF |!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"Em"EDEF GFGA | B2  gB fBeB | "D"(3dAd ce dBAF | DFAF "Em"GE E2  :|]!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"Em"Bee2   Be e2   | Beef edBc | "D"dAA2   fAce | d2   (3cec dBAF |!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"Em"EDEF GFGA | B2  gB fBeB | "D"(3dAd ce dBAF | DFAF "Em"GE E2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