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T:Granny Will Your Dog Bite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Vivian Williams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E chord at the end of bar 4 is essential, first to mark the phrase end, but also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N:to avoid continuous trivial repeats of the "D then A chord" sequence.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H:Version played in Pleasures of Home, Small Pleasures from ca 1994 onward.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Z:PLK 11/2020 from Vivian's distribution pdf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E2| "A"A2 A2 A,3  A,|"D"DEFD "A"E3   E |"D"F2   DF "A"EDCE | "D"DEFD "E!"E2  E2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"A"A2 A2 A,3  A,|"D"DEFD "A"E2  cd |"A"efed cBAc |"E"BAGB "A"A2</w:t>
        <w:tab/>
        <w:t xml:space="preserve">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Bc|"A"efed cAcd |e2  e2  "G"=g3   f |"A"efed cAcd |"E" ea2   g "A"a3   f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"A"efed cAcd |edef  "G"=gagf |"A"efed cBAc |"E"BAGB "A"A2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