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Hundred Pipers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N:There are a truly remarkable number of variations on this tune; see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N:http://trillian.mit.edu/~jc/cgi/abc/findtune</w:t>
        <w:tab/>
        <w:t xml:space="preserve">For example: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N:One can make the pickups a full half bar (A2  B in the first part).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N:One can put various syncopations and pipe "cuts" into some of the runs of three eighth notes.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N:One can play the second half of _second_ "B" part like the second half of the "A" part.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N:One can play the first part in "D" and the second part in "A" to fit on the range of the pipes.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N:Except for the last one, I've probably done them all, in some band or session here.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N:It can be The Hundred Pipers, A Hundred Pipers, or Wi’ a Hundred Pipers.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N:I can't bring myself to endorse any one, as "that's how we've done it when I played gigs."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N:Except I think we've always stayed in A, not G, D, C, or F.  One version is given here.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AB|"A"c2E EFE |"D"F2A A2f |"A"e2c cBA |"Bm(E7)"c2B "E7"BAB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"A"c2E EFE |"D"F2A A2f |"A"e2c "E7"BcB |"A"A3 -A  :|]!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cd|"A"e2  e ece |"D"f2  a a2  f |"A"e2  c cBA |"Bm(E7)"cBB "E7"Bcd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"A"e2  e ece |"D"f2  a a2  f |"A"e2c "E"BcB|"A"A3 -A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