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T:I Buried My Wife and Danced on Top of Her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C:Trad; chords R. Miller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S:melody vers. from Laurel Stone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N:Randy Miller's secondary alternative chords in parens.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H:Randy Miller was so good as to email chords and advice on chord alternatives at our request,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 based on his longstanding expertise with Irish tunes and chords.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Z:abcs from Laurel's version, Craig Shaw Aug 7, 2008; edited (chords) by Randy Miller Aug 11.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K:Dmix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"D" DED F2 G|AdB cAF|"G ~"G3   BAG|"A"FAF GEA|!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"D"DED F2 G|AdB cAF|"G"G2 G BAG|1 "A"AFD "D"D2 E :|]2 "A"AFD "D"DFA|]!/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[|:"D"d2 e fed|faf "(C)"gfe|"D"d2 e fed|"C (C6 or Am)"dcA dcA|!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"D"d2 e fed|faf "(C)"gfe|"D"d2 A "G"BAG|1 "A"AFD "D"DFA :|]2 "A"AFD "D"D2 E|]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