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T:La Grondeuse #1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T:Silver Spire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N:La Grondeuse means The Growler, which can refer either to a tune w/ a lot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N:of notes on the fiddle's low G string, or the string itself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H:I originally learned and liked "la Grondeuse" from the NEFR or Fifer's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H:Delight, then discovered that in my community the very similar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H:Irish tune, called Silver Spire, was more common.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H:To avoid the need to retain two very similar tunes in my head, fingers,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H:bellows arm, etc, I devised this which is playable along with either, w/o dissonance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D2  FED2  FA  |dcde fdAF |G2  BGF2  AF |EFGE CEA,C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D2  FED2  FA  |dcde fdAF |G2  BGF2  AF |EDCED3   z :|]!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A,B,CD EFGE |FDEF GABc |dcdB ABde |f[da]gfe2  A2   | 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d2  fdc2  ec |BcdB AFDF |G2  BGF2  AF |EDCED3   z :|]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T:La Grondeuse #2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S:CCDO recording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D:CCDO recording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H:I liked to call for LaGrondeuse #1/LaGrondeuse #2 at dances, just to prove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H:to contradance musicians that you could have tune-change drama, w/o 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H:key change.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Z:abc's PLK 2021/09, from own earlier transcription from recording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A2|D2  DDD2  FA |B2  A2  A2  Bc |dcBA BAGF |GEFD EDB,C  |!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D2  DDD2  FA |B2  A2  A2  Bc |dcBA BAFD |EGFED2   :|]!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g2|f2  d2  f2  g2  |f2  gf ecBA |dedB ABde |fagf e&gt;zg2  |!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f2  d2  f2  g2  |f2  gf ecBc |dedB AFDF |EGFED2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