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T:La Maison de Glace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M:6/8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C:by Rejean Brunet 1997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S:in English; "The Icehouse"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R:jig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N:PLK doesn't think the F#m in bars A2 and A6 is necessary; A is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N:good'nuff. PLK actively prefers A in bar B4, to the author's F#m.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N:On  the other hand, Phil thinks the Bm&gt;&gt;G transition in the second part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N:is one of the great beauties of contra dance playing. One can see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N:the dancers "falling in love" before one's eyes, whenever it is played.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"D"D3 DEF | "F#m(A)"A3 AFA |"G"B3 Bcd |"A"cBA GFE |!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"D"D3 DEF|"F#m(A)"A3</w:t>
        <w:tab/>
        <w:t xml:space="preserve">AFA |1"G"B3 BAG | "A"F3   E3  :|]2"G"B3 Bcd | "A"c3</w:t>
        <w:tab/>
        <w:t xml:space="preserve">F3 </w:t>
        <w:tab/>
        <w:t xml:space="preserve">|]!/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[|:"Bm"B3   Bcd | "G"B3   Bcd| "D"fed edc| "A"dcA dcA  |!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"Bm"B3 </w:t>
        <w:tab/>
        <w:t xml:space="preserve">Bcd | "G"B3 </w:t>
        <w:tab/>
        <w:t xml:space="preserve">Bcd | "D"fed edc |1"A"Adc "D"d2  c :|]2"A"Adc "D"d3     |]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% Written by ABC2Win  2.2.124 BETA on 10/23/2017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