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 Mattawa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"Tradition Today" -  Kerry Elkin, Jeremiah McLane et 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e/2f/2|"Em"g/2e/2f/2d/2 e/2c/2d/2B/2|"D"A/2B/2A/2F/2 D  F/2D/2|\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"Em"E/2F/2G/2A/2 B  e/2f/2|"C"g/2f/2e/2d/2 A  e/2f/2 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"Em"g/2e/2f/2d/2 e/2c/2d/2B/2|"D"A/2B/2A/2F/2 D  F/2D/2|"Em"E/2F/2G/2A/2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"C!"B  A/2G/2\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|"Bm"F/2D/2G/2F/2 "Em"E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|:A|"Em"B  e/2B/2 g/2B/2e/2B/2|"Em"B  e/2B/2 g/2B/2e/2B/2|"D"d  f/2d/2 g/2d/2f/2d/2|"D"d  f/2d/2 g/2d/2f/2d/2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"Em"B  e/2B/2 g/2B/2e/2B/2|"Em"B  e/2B/2 g/2B/2e/2B/2|"Bm"f3/2   g/2 f/2e/2d/2c/2|\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"Bm"B/2c/2d/2-d/2 "Em"e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