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T:Meriwether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fr. Laurel Stone (as Merriweather)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S:Laurel's vers. from "Portland Collection V.I" there sourced fr. Armin Barnett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N:Per http://tunearch.org/wiki/Annotation:Merriweather: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N:Traces to 1973 Bruce Green rec., whose source was W.L. "Jake" Phelps of Elkton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N:Todd County, KY. Tunearch cites prominent Meriwether family in Todd 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N:Portland V.1 indicates tune went from Armin Barnett &amp; Paul Kotapish &gt;&gt; Clyde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N:Curley at Fiddle Tunes, early 1980's.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N:Other books: Phillips (Trad. Amer. Fiddle Tunes) vol. 1, 1994; p. 151.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N:Titon (Old-Time Kentucky Fiddle Tunes), 2001; No. 103, p. 132.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from Laurel's P1 vers, PLK 2014,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"G"BdBA GBAG |"Am"EG A2  A4</w:t>
        <w:tab/>
        <w:t xml:space="preserve">|"G"DEGA Bdef |"C"gage "D"dged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"G"BdBA GBAG |"Am"EG A2  A4</w:t>
        <w:tab/>
        <w:t xml:space="preserve">|"G"DEGA B2  d2-  |"D"dB A2   "G"G4</w:t>
        <w:tab/>
        <w:t xml:space="preserve">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"G"g2  ga gede |g2  ga ged2  |"Am"ea-ab aged |"D"egab a2  ga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"G"b2  ba ged2  |"C"efge "G"d4   |"C"efge "G"dcBG |"D"ABAF "G"G4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