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T:Moccasin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L:1/16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C:Andy De 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from Andy's book; single-beat chords modified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O:Metis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A:Red River; Manitoba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3-note pickups to bars B1 and B5 emphasize the "A" note; it's as if the "A" is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N:almost an eighth-note, and the "BC" are a grace-note, which is how it was written 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N:Andy's book.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N:Used Steve Blum Anderson's bar A8; that's what Miche Baker-Harvey wanted to play there.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to match Andy's book by Phil Katz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ag|"D"fd2d d2 (3edc|defg abag|"C"e=c2c cdcB|=cdef geag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"D"fd2d d2(3edc|defg abag|"A7"fdeg "tr"f2ec|"D"df"A"ec d2:|]!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(3ABc|"D"d2de dAFA|"G"Bcdc "tr  D"BAFA|"Em"e2ee efed|Be2e "A7"e2(3ABc|!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"D"d2de dAFA|"G"Bcdc "tr  D"BAFD|"C"=CB,CD EFGE|"tr  D"FD"A7"^CE "D"D2:|]!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