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T:New Stove, The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Q:116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C:Frank Ferrel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B:Brand New Old Time Tunes, V.1, Vivian Williams, ed.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N:Scotsbroome had this originally from Vivian Williams'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N:books of new tunes from the Northwest. I believe Frank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N:later published it himself in one of his own excellent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N:tunebooks. I haven't checked the two versions against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N:each other.  This is what Scotsbroome played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A|"D"f2A "A"e2A |"D"ded dAF | "D" DFA ded| "G" BGG G2A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"A"g2A f2A | "A" efe e2c |1 "A" ABA BAG |"D"  (F3 F2) :|]2 "A" Aba gec |/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"D"d3   dFG|]!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"D"A3  AFD |"D"A,DF A2  F |"D"DFA ded |"G"B3-  B2 G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"A"g3  e3  |"A"cdc cBA |"A"ABA BAG |"D"F3-  F2 A 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"D"f3   "A"e3   |"D"ded dAF |"D"DFA ded |"G"B3-  B2  B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"G"Bgg g2  B|"D"Aff "Bm" f2  a |"A"gec ABc |"D"d3-  d2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