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T:Paddy on the Turnpike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Sarah Comer; arr (box) PLK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N:There are at least 2 major versions of this tune, the other being in Gdorian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N:(ie with Bb notes). The version here has been around the WA Old Time Fiddlers,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N:perhaps arriving via Stuart Williams.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N:the C chord in A6 is a "Missouri IV", played in a bar 6, independent of melody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N:This is playable on a G/C melodeon, lightly arr. I play an A for the c# in bar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N:B3. and use a low B instead of the low G,  in the first phrase of A8, B8.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N:Although all the chords are available on a G/C, I play melody-only for better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N:"flow". Not a trivial piece of work, even one-handed.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Z:abc's PLK 12/2021, from Sarah Comer's handout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K:GMix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"G"DDDEG2  AG |BGAG BGAG |"F"DEF2   F2  FG |"F"AcAG "D"F2  D2  |!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"G"DEGA BAGA |"(C)"Bcde fed-d |"G"B-Bd-d BAGE |"D"DEG"G"B,G4     :|]!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"G"G2  g2   g4 |dg2  a-g4    |"F"d^cde fede |"D"fafed2  d2   |!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