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T:Quadrille Montcalm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C:after or by Joseph Allard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S:Jos. Allard tunebook; trans. Bluebird B-4876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O:Quebec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B:Jos. Allard, Grand violonex, Hommage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N:In the Quebec-style G/C/F, the bright, easily playable row is the F row, not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N:the(low) G row. This tune fairly "leaps" onto a G/C/F or (my) C/F.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N:In the A part, the _effective_ chord shifts between F and more complex F6 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N:Dm7 sounds, via the melody's D or d note in an F arpeggio. Backup can go 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N:playing away on the F chord, in perfect rhythm, w/o distracting themselves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N:w/ hand-position or timing changes. REALLY important that backup not waste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N:mental energy or rhythmic clarity, "chasing" D or d notes with UNNECESSARY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N:chord changes. LET THE MELODY (combined w/ the backup F chord) DO IT FOR YOU!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D:Bluebird B-4876 78rpm a-side, transcribed: Yvon Cuillerier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H:The full bibliographic listing of the tunebook: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H:Jos. Allard, Grand violonex, Hommage, © 1992: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H:Compiled, &amp; Transcribed by  Yvon Cuillerier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H:L'Association Quebecoise des Loisirs Folkloriques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H:4545, ave Pierre-De-Coubertin, Cas. post 1000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H:Succursale "M", Montreal Quebec H1V 3R2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H:514-252-3022, fax 514-251-803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H:https://www.aqlfsudouest.com/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Z:abc's 11/2021 PLK from tunebook xerox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K:F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cB[|:"F"AFcF dFcF |DFcF "C"EGGB |"F"AFcF dFcF |"C"BdcB "F"AFFB |!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"F"AFcF dFcF |DFcF "C"EFGA |"F(Bb)"Bcde "Bb"fdcB |1"C"ABGB "F"AFcB :|]2"C"ABGB "F"AFAc |]!/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[|:"F"fagf "C"eccg |ecgc acgc |"F"fagf "C"edcB |"C"ABGB "F"AFAc |!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"F"fagf "C"eccg  |ecgc acgc |"F"fagf "Bb(C)"edcB |1"C"ABGB "F"AFce :|]2"C"ABGB "F"AFF2 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