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T:Quebec Tune, un-named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Quebec; but 32 bar vers for contra dance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Denis Maheux, "Fiddle Tunes" July 2007; arr PLK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N:Note that, as taught, the "B"  parts are 16 bars each and _are_ repeated, which is hard for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 contra-trained musician to intuit, but nonetheless true, for this tune _in_ Quebec. When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N:you borrow it across the border, nothing stops you from having your way with it, playing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N:playing AAB at a contra dance, which is what is done here.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N:Denis taught two different bar 15 in the "B" part. In the Quebec version one can use one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N:in each repetition (as I recall Denis saying) or simply treat them as variations. I picked one.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N:Also I liked the variation Denis taught for bars B13-14 better than the basic version, so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N:used the fancy variation as "normal", in the 32 bar version w/ a single B part.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Z:Kristin Smith's careful transcription from Denis Maheux, at Fiddle Tunes 2007;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Z:Phil Katz did 32 bar version adaptation from it 7/2007, and the abc's.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AG|"D"FAdf a2  AG|FAdf a2  a2 |"A"Acef gece|ABcA (3BcB AG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"D"FAdf a2  AG|FAdf a2  a2 |"A"Acef gece|"D"dfec d2</w:t>
        <w:tab/>
        <w:t xml:space="preserve">:|!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 ga|"G"b2  bb bagf|g2  gg gdBG|"G"DGBd gfeg|"D"fedf "A"eAAA |!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"D? A?"a2  aa agfe|f4- </w:t>
        <w:tab/>
        <w:t xml:space="preserve">f2 ed|"D"d2 ed fedf|"A"edce dfga |]!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"G"b2  bb bagf|g2  gg gdBG|"G"DGBd gfeg|"D"fedf "A"eAAA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"&amp;&amp; A"aAAa AAgA |"D"fAAf fgfe|"D"d2  cd b2  a2  |"G"gedB G2   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z4|!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"&amp;&amp;alt (A? D?)"  a3 </w:t>
        <w:tab/>
        <w:t xml:space="preserve">a   a2</w:t>
        <w:tab/>
        <w:t xml:space="preserve">g2   |f3 f</w:t>
        <w:tab/>
        <w:t xml:space="preserve">fgfe|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