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T:Road to Batoche (Budtesh)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C:Métis Tune; original 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after Mike Page, Belcourt ND, via Stuart Williams, from "Medicine Fiddle" video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N:Batoche refers to the Northwest Resistance of 1884-85 by Métis and others,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N:culminating in their defeat by a Canadian Militia Force at the Battle of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N:Batoche 9 - 12 May 1885.  Batoche, in Saskatchewan north of Saskatoon,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N:is now a Canadian Historic Site, and the site of the present-day Red River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N:Métis annual gathering.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emphatic A(major) chord is by no means standard in all versions;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  imo the dramatic chord change depicts a pitched battle.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"Em"E2   B,2   EDEF|GFEG Bz AG|"D"FEDF AFDF|ABAG FEDF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"Em"E2   B,2   EDEF|GFEG Bz AG|"D"FEDF ABAG|"D"FEDF  "Em"E4 </w:t>
        <w:tab/>
        <w:t xml:space="preserve">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"Em"Be2d e2ef|"A!!!"(gg)af gfec|"D"d2   fd ABde|"Bm"fdfd "(Em)" edBA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"Em"Be2d e2ef|"A"(gg)af gfec|"D"d2   fd ABAG|"Bm"FGAF  "Em"E4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