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2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T:The Sloe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C:trad. English; after Old Swan Band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S:(The Blackthorn;  cf. sloe gin)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A2|"D"d3 c d2 e2|f3 e "(A)"d2 c2|"G"B2  A2  BcdB|"D"A2(3AFA F2 A2  |!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"D"d3c  d2e2|f3e  d2c2|"A"B2 A2   BABc|"D"d4-</w:t>
        <w:tab/>
        <w:t xml:space="preserve">d2 :|]!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A2|"D/A"Bz A2 "D"F3  (A|B2 A2) "     </w:t>
        <w:tab/>
        <w:t xml:space="preserve">,"F3 d|"D"d2-cz "A"c2-Bz|"A"B2- A2 "D </w:t>
        <w:tab/>
        <w:t xml:space="preserve">,"A3d  |!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"D"d2c2 "A"c2e2|"A"e2 d2 "D    </w:t>
        <w:tab/>
        <w:t xml:space="preserve">,"d3f|"D"(fdA2)  "A"B2 c2 |"D"d4-  d2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