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T:Walking Through the Heather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 (from his LP's)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S:seemingly unpublished;  transcribed PLK from DeJarlis LP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O:Red River Metis; Scots style 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4-plet formulation in bars B1 &amp; B5 is certainly odd-looking. But (imo) that's what 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N:sounded like; 4 on 3, with a slight delay in the first note. I thought of transcribing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 quarter-note followed by a triplet of sixteenth notes, but that's not how it sounded.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N:DeJarlis and his band were very sophisticated recording artists (~~37 lp's), and they had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N:some pretty interesting licks.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Z:Tune (from LP) by PLK, April 2004; abc's PLK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[|:e|"A"aga ece|[Ae]ce "~"f2f|"G"=gdB G2G|BAB "~"B2A|!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"A"aga ece|Ace "~"f2f|"G"=gfg edB|"A"A3 A2:|]!/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[|:A|"A"EAA (4A&gt;Bcd|ece   e2   f|"G"=gdB  G2  G|BAB "~" B2  A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"A"EAA  (4A&gt;Bcd|ece   e2  f|"G"=gfg  edB|"A"A3 A2:|]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