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T:Winster Galop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C:English Traditional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S:PLK after Old Swan Band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R:Polka/Reel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N:Some little tricks have been added to reduce the inherent ditsyness of this tune: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N:In the original, bars B1-B3 are identical runs of four quarter-notes; playing with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N:the rhythm so they’re not, goes a long way. Also there’s no “fit the chord to the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N:notes” reason you need to have a beat of G chord to open bar B7. _Except_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N:that it announces loud and clear “ok here’s the closing figure of the dance call.”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|:B2|"G"G2 BB G2 BB | G2B2 d4 | "D"A2 Bc B2A2 | "G"GABc   d4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"C"c2 e2 f2 (3efe | "G"d2 B2  d4 |"D7" A2 Bc B2 A2 | "G"G4  G2:|!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|:Bd|"G"g3f e2d2 | "G"g2ff e2d2 |"G" gfgf "(C?)"e2  d2 |"D" c2 B2  A4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"A" f2 e2  "D"d4 | "A" f2 e2  "D"d4 | "G!!"d4   "D7"A3c | "G"B2 "D"A2  "G"G2:|]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