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T:Woodland Flowers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Felix Burns, 1889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S:BVB ca 1986-87 or Flowers and Frolics earlier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N:When Seattle briefly had our own English Ceilidh Band, we named it after this tune.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N:Authorship ref: There Was None of This Lazy Dancing - Folk Tunes and Dancing of the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N:Yorkshire Dales, p188. Written &amp; publ. by Bob Ellis, 2020, for Yorkshire Dales Folk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N:Dance and Tunes Project. ISBN 978 1 5272 5604 0.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H:From BBC Radio Solent tapes of Bursledon Village Band, sent by Gordon Day. Or maybe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H:from a Flowers and Frolics recording or radio tape of the 1970-80’s.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H:Burns, a prolific author of popular melodies; b Perth Scotland 1864; later to Carlisle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H:England, d 1920. He published a schottische; later (? by whom) converted to a jig.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Z:abc's PLK 4/2014, from hand inked original transcription from recordings ca 1986-87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DGB "_"A2   G|DGB "_"A2  G|E2   DE2   c|e3-</w:t>
        <w:tab/>
        <w:t xml:space="preserve">e2   d  |!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d2   Bc2   A|B2   AE2   F|1GAB AGE |D3-   D2   E:|]2G2  D B z A |G3-   G2 A/c/   |]!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BAG D2   D|BAG D2   D|cBA E2   E|cBA E2   E|!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F2   GF2   E|D2   cB2 </w:t>
        <w:tab/>
        <w:t xml:space="preserve">A|1GAB AGE |D3-  D2  [E/A/]c/ :|]2G2   D B z A |G3-   G2   E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