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T:Arizona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2001 Keith Murphy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S:arr; PLK, for G/C melodeon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H:I "fell in love" with this tune in music/dance camp with Keith and Becky.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H:Later I brought it home to Fresh Cider, where it served for "romantic"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H:flow contra dances with heys and gipsies.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slurs in bars A2, B1, and B5 are not as originally published; and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N:G at the end of bar A5 was originally GF#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"G"B,CDE DCB,C |DG-GF GDB,D | "Am"C2  CD CB,A,B, |"D"CAAB A2  GA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"G"B2  Bc BAG2  |"C"EDB,D A,B,G,B, |"Am"C2 CD CA,B,C |/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|1"D"DGGF "G"GDB,D :|]2"D"DGGF "G"GDGA 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[|:"G"BGAG AB-BA |BdBA GFED|"Em"E2  B,G EDB,G, |"D"A,B,DE DFGA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"G"BGAG AB-BA |BdBA GFED|"C"C2 CD EFGE |/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|1"D"FGAF "G"GABc :|]2"D"FGAF "G"G2  z2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