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T:Backwoodsman Reel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Marcel Meilleur 1959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S:fr. Red River Echoes tunebook;  arr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O:Manitoba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N:A D6 is a Bm7, but w/ a D bass-note. The distinction between D6 and D chords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N:in the first part is from the author's tunebook.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N:The opening rest is 'cuz the A-parts have no pickup, but both B parts do have.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D:One of the old DeJarlis LP's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H:Marcel Meilleur was the longtime second fiddler in Andy DeJarlis' long-time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H:recording band (35 lp's); a challenging position in a band known for its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H:precise arrangements of challenging tunes. After DeJarlis' untimely loss 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H:cancer in 1975, Meilleur continued on, authoring, recording, and publishing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H:numerous even more challenging tunes that showcased his skill and connection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H:to DeJarlis' tradition.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H:He was official fiddler of the Festival du Voyageurs, Winnipeg's midwinter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H:festival, having taken the position when the festival was unknown.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Z:abc's PLK based on arr of Meilleur's tunebook, Red River Echoes and set in cut time, from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 Grey Owl gig music.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z2|"A7"A,B,DE "D6"D2  DF |"A7"EDCE "D6"D2  FG |"D6"FDAF AFDF |"A7"GFED CDE2 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"A7"A,B,DE "D"D2  DF |"A7"EDCE "D"D2  FG |"D"FDAF AFDF |"A7"EDCE "D"D2  :|]!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(3DEF|"D"d2  cd AdFA |defd "A7"edBc |"D"d2  cd AdFA |"D"dAFD "A7"E2   (3ABc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"D"d2  cd AdFA |"D"defd "A7"e2  ef |"D"gefd "A7"edcB |"A7"Acec "D"d2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