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T:Belknap's March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L:1/4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Bill Wellington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S:via Anne Belov at "Fiddletunes 1984", from Laurie Andres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B:Bill Wellington's tune book.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N:Salmonberry cassette and CD; medley is Belknap's (Em)/ Jimmy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N:Garson's (Em) / Louise's Parlor (D). The medley is notable first for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N:the non-key-change at first, where the increased drive and sycopation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N:of Garson's was what "made" the tune change. And secondly for the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N:use of a "let-down" from harsh drive to floating ethereal sweetness in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N:the second change to Pat Spaeth's crystalline gem.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N:This medley was often used in the "n-1" slot before the hot reels to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N:close, at Salmonberry's 2nd Saturday dance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H:Whiskey Point Band - Anne Belov, Shauna Brown, and Julie King - was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H:first feeling their oats in 1984, and all showed up at McQuillen's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H: New England classes (and/or band lab) at "Fiddle Tunes" July 1984,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H: definitely ready to play. Anne, I believe it was, had gotten this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H:tune from Laurie Andres and introduced it somehow into the band lab.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H: We were impressed with it and took it on; thus the tune spread into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H: the New-England playing community. It was played, no doubt, at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H: subsequent Whiskey Point gigs, and I carried it to Salmonberry, who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H: also took it up. Laurie will call for this tune (2017) when he leads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H: the monthly  "Rhythm Rollers"  session in Seattle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Z:PLK hand transcription at or immediately after FT '84, contained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Z:in the Salmonberry "book". Finally set in abc's Feb 2014, PLK.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"Bm"F|"Em"E&gt;FGA|B2   e2   |"D"d&gt;edB|AFDF  |!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"Em"EFGA|BedB|"D"A-FDF|"Em"E2-   E"B7"[B,^D]  |]!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[|"Em"E&gt;FGA|B2   e2   |"D"d&gt;e"(C#dim)"de |"Bm"fdB"(A7)"^c   |!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"G"d&gt;edB |"D"AFDF |"Em"E G "D(Bm)"F/E/D |"Em"E2   E"D"F |]!/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[|:"G"G2   Bc|d2   ef|"C"g&gt;age|"G"dBGB  |!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"C"cBAG |"D"AD/D/DD|1"C"cB"A/C#"AG |"D"A2   EF:||2"D"cDEF|"G"G2   G  |]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% Written by ABC2Win  2.2.124 BETA on 10/23/2017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