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T:Blueberry Splash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2002 Judi Morningstar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Sean Bolton; arr. for D/G box,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O:Michigan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B:Ruffwater Fakebook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Ruffwater Stringband has published The Ruffwater Fakebook, a compendium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N:of tunes from Michigan's Olde Ruffwater Stringband. $25 + 5 p&amp;h. (better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N:verify if still available; email is shown on order blank.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N:www.judimorningstar.com/music-order-blank.html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H:Full Scale successfully played for gigs: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H:Blueberry Splash (G)/Bob Walters' Irish Reel (D)/Road to Batoche(Edor)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Z:abc's PLK 11/2021 from mss markup of Morningstar's book, arr. for D/G box.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ef|"G"g2  gf gdBd |"C"c2  cB "(Am)"cBAG |"D"F2  AF DFA2   |"G"GAGA "D"Bdef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"G"g2  gf gdBd |"C"c2  cB "(Am)"cBAG |"D"F2  AF DFAA |"D"GBAF "G"G2 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F2|"Em"E2  B,EG2  EG |B2  Bc BAGF |"B7"F2  B,FA2  FA |B2  Bc BAGF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"Em"E2  B,EG2  EG |B2  Bc BAG2  |"B7"B2  Bc BAGA |BAGF "Em"E2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