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T:Boston Rattler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S:Ryan's Mammoth Collection (1883); vers: Stuart Williams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B:Ryan's (Cole's)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N:Online I saw that a Boston Rattler was an old-fashioned Boston streetcar (that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N:rattles through the twisty underground tracks and track switches); still 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 the older MTA lines.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H:As taught by Stuart Williams in WOTFA Kittitas teaching camp, Summer 2005.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H:Stuart describes the bow rhythm of line 1 in the B part thusly: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H:Surfin in Hawai-i baby, surfin in Hawai-i baby, surfin in Hawai-i baby,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H:surfin in Hawai-i.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Z:Andrew Kunz/Fiddler's Companion; Chords Stuart Williams, abc’s entered PLK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(3ABc|"D"d2 cA "G"B2 AF|"Bm"DCDF "Em"EB,B,2|"D"DFAF DFAd|"A"cABc dABc|!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"D"d2 cA "G"B2 AF|"Bm"DCDF EB,B,E|"D"DFAF DFAd|"A"cABc "D"d2  :|]!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(Bc)|"Bm"dfBc dBfd|"A"ceAB cAec|"Bm"dfBc dBfd|"F#m(A)"ceAc "Bm"B2(Bc)|!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"Bm"dfBc dBfd|"A"ceAB cAeg|"D"f2  ec "G"d2 cA |"A"BABc "D"d2 :|]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T:Boston Rattler (D/G Box Ver.)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S:Ryan's Mammoth Collection (1883) arr:PLK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N:Online I saw that a Boston Rattler was an old-fashioned Boston streetcar (that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N:rattles through the twisty underground tracks and track switches); still used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N:on the older MTA lines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H:I learned this from Stuart Williams in WOTFA instructional camp at Kittitas,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H:WA, Summer 2005. Then went to work making minor changes (always harmonic w/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H:the original) to make the bellows patterns and row-crossings "flow", in such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H:way as to best follow Stuart's bowing and phrasing.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Z:Andrew Kunz/Fiddler's Companion; Chords Stuart Williams, abc’s entered PLK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(3(ABc)|"D"d2  cA"G"B2 AF |"Bm"DA,DF "Em"EB,B,2 |"D"DFAF DFAd |"A"cABc AABc |!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"D"d2  cA "G"B2  AF|"Bm"DA,DF EB,B,2 |"D"DFAF DFAd|"A"cABc "D"d2   :|]!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Bc|"Bm"dfBc dBfd |"A"ceAB cAec |"Bm"dfBc dBfd |"A"ceAc "Bm"B2-  Bc |!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"Bm"dfBc dBfd |"A"ceAB cAeg |"D"f2  ec "G"d2 cA  |"A"BABc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