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T:Le Breakdown de Portneuf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Q:114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C:Trad. Quebec (also as Reel de La Plume)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S:a town on the St Lawrence downriver of Montreal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A:N Shore of St Lawrence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N:Portneuf is a river town in Quebec; Pont Neuf is a bridge on the Seine,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N:in Paris.  Very unlikely a tune in Quebec would have been named for the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N:bridge in Paris. Further, in 1992 Aime’ Gagnon, a musician living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N:essentially across the river from Portneuf, recognized the tune when it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N:was played for him.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N:On a G/C, play a low B for the D#.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H:This feels like it was written on a G/C two-row accordion diatonique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H:(button accordion; melodeon). The G/C was the first multi-row button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H:accordion introduced in Quebec, earlier than the 3-row G/C/F or A/D/G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Z:Phil Katz, Seattle WA, after Mike Richardson.......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D&gt;E|"G"DC B,D|(G2G)D/2G/2|"D"BAGF|"G"(G2G)G/2B/2|!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"G"dcBG|"D"(A2A)A/2B/2|"D7"dcBA|1"G"B2:|2B&gt;(GcB)|]!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"Am"A&gt;EEE|E(ABA)|"G                       </w:t>
        <w:tab/>
        <w:t xml:space="preserve">,"G&gt;DDD|DGAG|!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"D"(F2F)E|"D7"DcBA|"G"(B2"Em" B2|"G" B) (BcB)||!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"Am"A&gt;EEE|E(ABA)|"G                        </w:t>
        <w:tab/>
        <w:t xml:space="preserve">,"G&gt;DDD|DGAG|!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"D"(F2F)E|"D"D^DEF|"G"G2"C" G2|"G" Gz||!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