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T:Brighton Camp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T:The Girl I Left Behind 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C:Trad, D/G box vers,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O:Australia is claimed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A:Tasmania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H:This is a bright-cheery little tune named for a hell-hole of a WW I army training camp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H:in Australia(!!) named presumably for a town in the South of England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Z:PLK 4/2021, version PLK, following the dictates of the bellows on his D/G melodeon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g/2f/2|"G"ed/2c/2 BA|"G"BG "C"E D |"G"GG G/2A/2B/2c/2|"G"d/e/d/c/ "D"B g/2f/2|!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"G"ed/2c/2 BA|"G"B/A/G "C"E.G|"D7"F/2G/2A DE/2F/2|"G"G2 G:|]!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d/2c/2|"G"Bd "D7"ef|"G"gd/2c/2 "D7"B/2A/2G |"G"B/2c/2d ef|"A7?C?"g2   "D"fg/2f/2|!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"G"ed/2c/2 BA|"G"B/2A/2G "C"E&gt;G|"D"F/2G/2A D E/2F/2|"G"G2  G:|]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