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T:Calliope House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C:Dave Richardson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 via Laurie Andres, Armin Barnett, Erin Shrader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N:Note that in some places the B chord generates a progression, even at the expense of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 brief dissonance w/ the melody. Imo these things go flying by, at speed, and cause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N:no harmonic harm. What does hurt is if (say) a piano player slowwly runs the melody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N:while playing the whole chord, maximizing the dissonance, and then objects to the sound.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H:Scotsbroome used this as a change tune for (tune and dance) Rory O'More.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H:Imo there is no more inspiring tune to use for that purpose; it matches the moves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H:of the dance perfectly, and inspires the dancing to a whole new level.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H:And it _has_ to be played in E; that's the point. No wussing to D; there are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H:a bazillion D tunes; the inspiration is in that bright E string and E chord.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B|"E"eBB gBB |fBB gBB|"F#m"cff{g}f2  e |"A"fge "B?"cec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"E"BcBB2 G |B2 ce2 f |1"E"g2  b gfe |"B"f3-  f2  B :|]2"E"gbg "B"fec |"E"e3-  ega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"E"b3   gbb |fbb efg |"A"a3   gag |fge cec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"E"BcBB2  G |B2  ce2  f |1"E"g2 b gfe |"B"f3-   fga :|]2"E"gbg "B"fec |"E"e3-  e2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