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T:Cattle in the Crops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original source likely Jim Magill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Rodney and Randy Miller; "Castles in the Air"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O:Canadian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N:In the interest of following the flow of the fiddle sound, w/o distracting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N:bellows reversals in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N:ornaments, I modified bars A7 &amp; B7; both originally |"A7"f/g/af gec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D:Castles in the Air; FretlessRecords 119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H:Early in their careers as contra dance musicians, NH fiddler Rodney Miller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H:(then piano player, now fiddler) Randy Miller produced a seminal lp "Castles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H:in the Air". This was tune 2 on track 2, after Northern Lights in 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H:Note the Bm turnaround in A4, and the 4-chord progression through the minors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H:in B3&amp;4. These exemplified the beginnings of "Celtic" progressions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H:Yankee music of the time, where 3-chord major predominated.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Z:abc's PLK 10/2021 from Alan Roberts' excellent tunebook of the recording.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Z:Alan, then a midwestern-style fiddler seeking insight into the nature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Z:"New England" fiddling, undertook to transcribe every note and ornament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Z:of every pass through every tune, on the recording! A scholarly effort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Z:at insight, involving great persistence.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"D"AFA fed |"G"BABg2  B |"D"AFA fed |"Bm"BcBB2  B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"D"AFA fed |"G"BABg2  g |"A7"f/e/af gec |1"D"d3   dcB :|]2"D"d3   dfg |]!/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"D"aba afd |"G"gab "D"a2  g |"D"fga "Bm"afa |"Em"gfg "A7"efg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"D"aba afd |"G"gab "D"a2  g |"A7"faf gec |1"D"d3   dfg :|]2"D"d3   d3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