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T:Chorus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Q:1/2=114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C:Trad, Yankee.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|:AG | "D"F2 DF ABAG | FADF  A2 d2 | "D"D3 F ABAF | "A7"GFEF  G2 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Bc|"G"dBcA BGFG | "D"Ad^cd A2 Bc | "G"dBcA  BGFG | "D7"AcBA G2 Bc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"G"dBcA BGFG | "C6"ABcd efge | "G"dBcA BGFG | "D7"AcBA "G"G2 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|:ag|"D"fddd fddd | "D"fefg "A7"abag | "D"fddd fddd |1 "A7"edef g2 :|2 "C"=cdef g2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Bc|"G"d3c BGFG | "D"Ad^cd A2 Bc | "G"dBcA  BGFG | "D7"AcBA "G"G2 Bc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"G"dBcA BGFG | "C6"ABcd efge | "G"dBcA BGFG | "D7"AcBA "G"G2 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N:4-part, 32 bar tune, only used for the dance of same name.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N:Phil has put in his memory of Pat Spaeth's chords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N:in the "C" part - A7 first time; C 2nd time.  Also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N:"playing the balance" in the "D" part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