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Cliffs of Moher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S:D/G box 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N:This is a D/G box version, playing c instead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N:f_natural, playing a harmony note to the low 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N:in the last bar, and approximating fiddle "turns"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N:w/ box turns that can be played w/o bellows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N:reversals.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N:You can find a more "original" fiddle 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N:in the Portland books.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Z:PLK 6/2021 from Scotsbroome "book"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a2  a bag |eae ged |c2  A BAG |EFG ABd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eaa bag |eaf ged |c2  A/c/ BAG |EFGA3   :|]!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ece dBA |(4eceg dBA |GBc dBA |GBc (4dBdg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ece dBA |(4eceg dBA |GBc dBA |BAGA3   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ece dBA |ece dBA |GBc dBA |GBc dBd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ece dee |cee Bee |EFG AGE |DB,B, A,3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