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T:Columbus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Roy Marshall; version as a march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S:via Miche Baker-Harvey, 2010; chords Phil Katz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N:These chords go beyond the O.T. chords suggested by Roy Marshall; 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N:particular the use of Bm and the "Bm to G" trick.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Phil Katz.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"D"A,DFG |Acde |"D"fedA |"G"B2-</w:t>
        <w:tab/>
        <w:t xml:space="preserve">Bc |"D"dcBA |"A"FAEA |"D"BAFD |"A"E2</w:t>
        <w:tab/>
        <w:t xml:space="preserve">FE   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"D"A,DFG |Acde |"Bm"fedA |"Bm"B2- </w:t>
        <w:tab/>
        <w:t xml:space="preserve">Bc |"G"dcBA |"A"FAEA |"A"BABc |"D"d2-</w:t>
        <w:tab/>
        <w:t xml:space="preserve">d  e  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"D"fefg |"Bm"a2-   af |"Bm"fedA |"G"B2-   Be |"D"fefg |a2 {a}gf|"A"eAgf  |eede 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"D"fefg |a2-   af |"D"fedA |"G"B2-   Bc | "G"dcBA |"A"FAEA |"A"BABc |"D"d2-   d2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