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Cowboy's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vers. from John Chambers site dtd 1977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|: B \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| GDE G2A | Bgf gdB | ABc BcA | BcA BGE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GDE G2A | Bgf gdB | ABc BcA | BGF G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Bd \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 e2e e2e | egf edB | d2-d d2-d | dge dBG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c2d e2f | gdB A2c | BGA BcA | BGF G2 :|]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